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9"/>
        <w:ind w:left="150"/>
      </w:pPr>
      <w:r>
        <w:rPr/>
        <w:t>Anexo</w:t>
      </w:r>
      <w:r>
        <w:rPr>
          <w:spacing w:val="-3"/>
        </w:rPr>
        <w:t> </w:t>
      </w:r>
      <w:r>
        <w:rPr/>
        <w:t>8</w:t>
      </w:r>
      <w:r>
        <w:rPr>
          <w:spacing w:val="-1"/>
        </w:rPr>
        <w:t> </w:t>
      </w:r>
      <w:r>
        <w:rPr/>
        <w:t>-</w:t>
      </w:r>
      <w:r>
        <w:rPr>
          <w:spacing w:val="-1"/>
        </w:rPr>
        <w:t> </w:t>
      </w:r>
      <w:r>
        <w:rPr/>
        <w:t>SEPLAG</w:t>
      </w:r>
    </w:p>
    <w:p>
      <w:pPr>
        <w:pStyle w:val="BodyText"/>
        <w:rPr>
          <w:sz w:val="23"/>
        </w:r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2536"/>
        <w:gridCol w:w="798"/>
        <w:gridCol w:w="5931"/>
        <w:gridCol w:w="1022"/>
        <w:gridCol w:w="1421"/>
        <w:gridCol w:w="1022"/>
      </w:tblGrid>
      <w:tr>
        <w:trPr>
          <w:trHeight w:val="263" w:hRule="atLeast"/>
        </w:trPr>
        <w:tc>
          <w:tcPr>
            <w:tcW w:w="3141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64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8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6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avaliação</w:t>
            </w:r>
          </w:p>
        </w:tc>
        <w:tc>
          <w:tcPr>
            <w:tcW w:w="6729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076" w:right="30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</w:p>
        </w:tc>
        <w:tc>
          <w:tcPr>
            <w:tcW w:w="3465" w:type="dxa"/>
            <w:gridSpan w:val="3"/>
            <w:shd w:val="clear" w:color="auto" w:fill="BEBEBE"/>
          </w:tcPr>
          <w:p>
            <w:pPr>
              <w:pStyle w:val="TableParagraph"/>
              <w:spacing w:line="244" w:lineRule="exact"/>
              <w:ind w:left="1013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Risco</w:t>
            </w:r>
            <w:r>
              <w:rPr>
                <w:rFonts w:ascii="Calibri"/>
                <w:b/>
                <w:spacing w:val="-1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mitigado?</w:t>
            </w:r>
          </w:p>
        </w:tc>
      </w:tr>
      <w:tr>
        <w:trPr>
          <w:trHeight w:val="672" w:hRule="atLeast"/>
        </w:trPr>
        <w:tc>
          <w:tcPr>
            <w:tcW w:w="3141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9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2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47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Sim</w:t>
            </w:r>
          </w:p>
        </w:tc>
        <w:tc>
          <w:tcPr>
            <w:tcW w:w="1421" w:type="dxa"/>
            <w:shd w:val="clear" w:color="auto" w:fill="BEBEBE"/>
          </w:tcPr>
          <w:p>
            <w:pPr>
              <w:pStyle w:val="TableParagraph"/>
              <w:spacing w:line="254" w:lineRule="auto" w:before="59"/>
              <w:ind w:left="295" w:right="71" w:hanging="193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Parcialmente</w:t>
            </w:r>
            <w:r>
              <w:rPr>
                <w:rFonts w:ascii="Calibri"/>
                <w:b/>
                <w:spacing w:val="-4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</w:t>
            </w:r>
          </w:p>
        </w:tc>
        <w:tc>
          <w:tcPr>
            <w:tcW w:w="1022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28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Não</w:t>
            </w:r>
          </w:p>
        </w:tc>
      </w:tr>
      <w:tr>
        <w:trPr>
          <w:trHeight w:val="460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15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8.1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11"/>
              <w:ind w:left="37"/>
              <w:rPr>
                <w:sz w:val="20"/>
              </w:rPr>
            </w:pPr>
            <w:r>
              <w:rPr>
                <w:sz w:val="20"/>
              </w:rPr>
              <w:t>Repasse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Câmara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15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8.1.1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0" w:lineRule="exact"/>
              <w:ind w:left="36"/>
              <w:rPr>
                <w:sz w:val="20"/>
              </w:rPr>
            </w:pPr>
            <w:r>
              <w:rPr>
                <w:sz w:val="20"/>
              </w:rPr>
              <w:t>Repasse</w:t>
            </w:r>
            <w:r>
              <w:rPr>
                <w:spacing w:val="8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85"/>
                <w:sz w:val="20"/>
              </w:rPr>
              <w:t> </w:t>
            </w:r>
            <w:r>
              <w:rPr>
                <w:sz w:val="20"/>
              </w:rPr>
              <w:t>recursos</w:t>
            </w:r>
            <w:r>
              <w:rPr>
                <w:spacing w:val="88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87"/>
                <w:sz w:val="20"/>
              </w:rPr>
              <w:t> </w:t>
            </w:r>
            <w:r>
              <w:rPr>
                <w:sz w:val="20"/>
              </w:rPr>
              <w:t>Câmara</w:t>
            </w:r>
            <w:r>
              <w:rPr>
                <w:spacing w:val="85"/>
                <w:sz w:val="20"/>
              </w:rPr>
              <w:t> </w:t>
            </w:r>
            <w:r>
              <w:rPr>
                <w:sz w:val="20"/>
              </w:rPr>
              <w:t>além</w:t>
            </w:r>
            <w:r>
              <w:rPr>
                <w:spacing w:val="85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86"/>
                <w:sz w:val="20"/>
              </w:rPr>
              <w:t> </w:t>
            </w:r>
            <w:r>
              <w:rPr>
                <w:sz w:val="20"/>
              </w:rPr>
              <w:t>limite</w:t>
            </w:r>
            <w:r>
              <w:rPr>
                <w:spacing w:val="82"/>
                <w:sz w:val="20"/>
              </w:rPr>
              <w:t> </w:t>
            </w:r>
            <w:r>
              <w:rPr>
                <w:sz w:val="20"/>
              </w:rPr>
              <w:t>máximo</w:t>
            </w:r>
          </w:p>
          <w:p>
            <w:pPr>
              <w:pStyle w:val="TableParagraph"/>
              <w:spacing w:line="203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previsto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29-A,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§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2º,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inciso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Constituição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Federal.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8.2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22"/>
              <w:ind w:left="37"/>
              <w:rPr>
                <w:sz w:val="20"/>
              </w:rPr>
            </w:pPr>
            <w:r>
              <w:rPr>
                <w:sz w:val="20"/>
              </w:rPr>
              <w:t>Créditos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Adicionais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8.2.1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Remanejamento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créditos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adicionais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maior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percentual</w:t>
            </w:r>
          </w:p>
          <w:p>
            <w:pPr>
              <w:pStyle w:val="TableParagraph"/>
              <w:spacing w:line="213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estabelecido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Orçamentária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Anual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(LOA).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94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8.2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Créditos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Adicionais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8.2.2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17" w:lineRule="exact"/>
              <w:ind w:left="36"/>
              <w:jc w:val="both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comprovação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saldo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orçamentário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anterior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caso</w:t>
            </w:r>
          </w:p>
          <w:p>
            <w:pPr>
              <w:pStyle w:val="TableParagraph"/>
              <w:spacing w:line="240" w:lineRule="atLeast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de créditos adicionais especiais ou extraordinários reabertos 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ano em curso, quando o ato de autorização for promulgado nos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últimos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quatro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meses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exercício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anterior.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8.3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22"/>
              <w:ind w:left="37"/>
              <w:rPr>
                <w:sz w:val="20"/>
              </w:rPr>
            </w:pPr>
            <w:r>
              <w:rPr>
                <w:sz w:val="20"/>
              </w:rPr>
              <w:t>Equilíbrio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Orçamentário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8.3.1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Déficit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orçamentário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global.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8.4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22"/>
              <w:ind w:left="37"/>
              <w:rPr>
                <w:sz w:val="20"/>
              </w:rPr>
            </w:pPr>
            <w:r>
              <w:rPr>
                <w:sz w:val="20"/>
              </w:rPr>
              <w:t>Receitas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Vinculadas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8.4.1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Destinação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incorreta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receitas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vinculadas.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94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8.5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08"/>
              <w:ind w:left="37" w:right="364"/>
              <w:rPr>
                <w:sz w:val="20"/>
              </w:rPr>
            </w:pPr>
            <w:r>
              <w:rPr>
                <w:sz w:val="20"/>
              </w:rPr>
              <w:t>Limites Constitucionais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Mínimos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Saúde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Educação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8.5.1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17" w:lineRule="exact"/>
              <w:ind w:left="36"/>
              <w:jc w:val="both"/>
              <w:rPr>
                <w:sz w:val="20"/>
              </w:rPr>
            </w:pPr>
            <w:r>
              <w:rPr>
                <w:sz w:val="20"/>
              </w:rPr>
              <w:t>Descumprimento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limites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mínimos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saúde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educação,</w:t>
            </w:r>
          </w:p>
          <w:p>
            <w:pPr>
              <w:pStyle w:val="TableParagraph"/>
              <w:spacing w:line="246" w:lineRule="exact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estabelecidos no artigo 198 da Constituição Federal, no artigo 7º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 Lei Complementar Federal nº 141/2012 e no artigo 212 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Constituição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Federal.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04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line="222" w:lineRule="exact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94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8.5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08"/>
              <w:ind w:left="37" w:right="364"/>
              <w:rPr>
                <w:sz w:val="20"/>
              </w:rPr>
            </w:pPr>
            <w:r>
              <w:rPr>
                <w:sz w:val="20"/>
              </w:rPr>
              <w:t>Limites Constitucionais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Mínimos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Saúde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Educação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8.5.2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17" w:lineRule="exact"/>
              <w:ind w:left="36"/>
              <w:jc w:val="both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encaminhar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à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CGM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listas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despesas</w:t>
            </w:r>
            <w:r>
              <w:rPr>
                <w:spacing w:val="44"/>
                <w:sz w:val="20"/>
              </w:rPr>
              <w:t> </w:t>
            </w:r>
            <w:r>
              <w:rPr>
                <w:sz w:val="20"/>
              </w:rPr>
              <w:t>referentes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aos</w:t>
            </w:r>
          </w:p>
          <w:p>
            <w:pPr>
              <w:pStyle w:val="TableParagraph"/>
              <w:spacing w:line="246" w:lineRule="exact"/>
              <w:ind w:left="36" w:right="17"/>
              <w:jc w:val="both"/>
              <w:rPr>
                <w:sz w:val="20"/>
              </w:rPr>
            </w:pPr>
            <w:r>
              <w:rPr>
                <w:sz w:val="20"/>
              </w:rPr>
              <w:t>mínimos constitucionais em até 5 dias úteis após o recebimento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das informações, em observância ao art. 16, §3º, do Decreto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Municipal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13.863/2021.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0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line="223" w:lineRule="exact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70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spacing w:before="1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8.6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line="256" w:lineRule="auto" w:before="111"/>
              <w:ind w:left="37"/>
              <w:rPr>
                <w:sz w:val="20"/>
              </w:rPr>
            </w:pPr>
            <w:r>
              <w:rPr>
                <w:sz w:val="20"/>
              </w:rPr>
              <w:t>Limite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Despesa</w:t>
            </w:r>
            <w:r>
              <w:rPr>
                <w:spacing w:val="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Pessoal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spacing w:before="1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8.6.1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0" w:lineRule="exact"/>
              <w:ind w:left="36"/>
              <w:rPr>
                <w:sz w:val="20"/>
              </w:rPr>
            </w:pPr>
            <w:r>
              <w:rPr>
                <w:sz w:val="20"/>
              </w:rPr>
              <w:t>Descumprimento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do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limite  </w:t>
            </w:r>
            <w:r>
              <w:rPr>
                <w:spacing w:val="5"/>
                <w:sz w:val="20"/>
              </w:rPr>
              <w:t> </w:t>
            </w:r>
            <w:r>
              <w:rPr>
                <w:sz w:val="20"/>
              </w:rPr>
              <w:t>com  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despesa  </w:t>
            </w:r>
            <w:r>
              <w:rPr>
                <w:spacing w:val="6"/>
                <w:sz w:val="20"/>
              </w:rPr>
              <w:t> </w:t>
            </w:r>
            <w:r>
              <w:rPr>
                <w:sz w:val="20"/>
              </w:rPr>
              <w:t>de 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pessoal,  </w:t>
            </w:r>
            <w:r>
              <w:rPr>
                <w:spacing w:val="4"/>
                <w:sz w:val="20"/>
              </w:rPr>
              <w:t> </w:t>
            </w:r>
            <w:r>
              <w:rPr>
                <w:sz w:val="20"/>
              </w:rPr>
              <w:t>não</w:t>
            </w:r>
          </w:p>
          <w:p>
            <w:pPr>
              <w:pStyle w:val="TableParagraph"/>
              <w:spacing w:line="240" w:lineRule="atLeast"/>
              <w:ind w:left="36"/>
              <w:rPr>
                <w:sz w:val="20"/>
              </w:rPr>
            </w:pPr>
            <w:r>
              <w:rPr>
                <w:sz w:val="20"/>
              </w:rPr>
              <w:t>observando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os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artigos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19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49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Complementar</w:t>
            </w:r>
            <w:r>
              <w:rPr>
                <w:spacing w:val="51"/>
                <w:sz w:val="20"/>
              </w:rPr>
              <w:t> </w:t>
            </w:r>
            <w:r>
              <w:rPr>
                <w:sz w:val="20"/>
              </w:rPr>
              <w:t>Federal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101/2000.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8.7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22"/>
              <w:ind w:left="37"/>
              <w:rPr>
                <w:sz w:val="20"/>
              </w:rPr>
            </w:pPr>
            <w:r>
              <w:rPr>
                <w:sz w:val="20"/>
              </w:rPr>
              <w:t>Metas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Resultado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8.7.1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cumprimento</w:t>
            </w:r>
            <w:r>
              <w:rPr>
                <w:spacing w:val="52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metas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4"/>
                <w:sz w:val="20"/>
              </w:rPr>
              <w:t> </w:t>
            </w:r>
            <w:r>
              <w:rPr>
                <w:sz w:val="20"/>
              </w:rPr>
              <w:t>resultado</w:t>
            </w:r>
            <w:r>
              <w:rPr>
                <w:spacing w:val="53"/>
                <w:sz w:val="20"/>
              </w:rPr>
              <w:t> </w:t>
            </w:r>
            <w:r>
              <w:rPr>
                <w:sz w:val="20"/>
              </w:rPr>
              <w:t>primário  e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nominal</w:t>
            </w:r>
          </w:p>
          <w:p>
            <w:pPr>
              <w:pStyle w:val="TableParagraph"/>
              <w:spacing w:line="214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estabelecidas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LDO.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511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30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8.8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"/>
              <w:rPr>
                <w:rFonts w:ascii="Calibri"/>
                <w:sz w:val="32"/>
              </w:rPr>
            </w:pPr>
          </w:p>
          <w:p>
            <w:pPr>
              <w:pStyle w:val="TableParagraph"/>
              <w:tabs>
                <w:tab w:pos="2174" w:val="left" w:leader="none"/>
              </w:tabs>
              <w:spacing w:line="256" w:lineRule="auto"/>
              <w:ind w:left="37" w:right="16"/>
              <w:jc w:val="both"/>
              <w:rPr>
                <w:sz w:val="20"/>
              </w:rPr>
            </w:pPr>
            <w:r>
              <w:rPr>
                <w:sz w:val="20"/>
              </w:rPr>
              <w:t>Transparência</w:t>
              <w:tab/>
            </w:r>
            <w:r>
              <w:rPr>
                <w:spacing w:val="-2"/>
                <w:sz w:val="20"/>
              </w:rPr>
              <w:t>dos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Relatórios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Prestações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Contas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Governo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30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8.8.1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46" w:lineRule="exact" w:before="11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Não dar transparência às informações referentes à Prestação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Contas de Governo, nos termos da Constituição da República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1988, da Lei Complementar nº 101/2000 e da Lei de Acesso à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Informação (Lei Federal nº 12.527/2011) e o Decreto Federal nº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10.540/2020, que garantem a Transparência pela Administração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Pública.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6770" w:h="23720"/>
          <w:pgMar w:top="1760" w:bottom="280" w:left="1780" w:right="1420"/>
        </w:sectPr>
      </w:pPr>
    </w:p>
    <w:tbl>
      <w:tblPr>
        <w:tblW w:w="0" w:type="auto"/>
        <w:jc w:val="left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2536"/>
        <w:gridCol w:w="798"/>
        <w:gridCol w:w="5931"/>
        <w:gridCol w:w="1022"/>
        <w:gridCol w:w="1421"/>
        <w:gridCol w:w="1022"/>
      </w:tblGrid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4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815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0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Royalties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8.9.1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44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Descumprimento da Lei Federal nº 12.858/2013 (Pré-sal) ou 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Federal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13.885/2019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(Royalties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título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cessão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onerosa).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22"/>
              <w:ind w:left="37"/>
              <w:rPr>
                <w:sz w:val="20"/>
              </w:rPr>
            </w:pPr>
            <w:r>
              <w:rPr>
                <w:sz w:val="20"/>
              </w:rPr>
              <w:t>Royalties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8.9.2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Desequilíbrio</w:t>
            </w:r>
            <w:r>
              <w:rPr>
                <w:spacing w:val="33"/>
                <w:sz w:val="20"/>
              </w:rPr>
              <w:t> </w:t>
            </w:r>
            <w:r>
              <w:rPr>
                <w:sz w:val="20"/>
              </w:rPr>
              <w:t>Fiscal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aplicar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recursos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Royalties</w:t>
            </w:r>
            <w:r>
              <w:rPr>
                <w:spacing w:val="34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forma</w:t>
            </w:r>
          </w:p>
          <w:p>
            <w:pPr>
              <w:pStyle w:val="TableParagraph"/>
              <w:spacing w:line="213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consciente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responsável.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1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21"/>
              <w:ind w:left="37"/>
              <w:rPr>
                <w:sz w:val="20"/>
              </w:rPr>
            </w:pPr>
            <w:r>
              <w:rPr>
                <w:sz w:val="20"/>
              </w:rPr>
              <w:t>Royalties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1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8.9.3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cumprimento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limites</w:t>
            </w:r>
            <w:r>
              <w:rPr>
                <w:spacing w:val="26"/>
                <w:sz w:val="20"/>
              </w:rPr>
              <w:t> </w:t>
            </w:r>
            <w:r>
              <w:rPr>
                <w:sz w:val="20"/>
              </w:rPr>
              <w:t>legais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Despesas</w:t>
            </w:r>
            <w:r>
              <w:rPr>
                <w:spacing w:val="31"/>
                <w:sz w:val="20"/>
              </w:rPr>
              <w:t> </w:t>
            </w:r>
            <w:r>
              <w:rPr>
                <w:sz w:val="20"/>
              </w:rPr>
              <w:t>com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Pessoal,</w:t>
            </w:r>
          </w:p>
          <w:p>
            <w:pPr>
              <w:pStyle w:val="TableParagraph"/>
              <w:spacing w:line="213" w:lineRule="exact" w:before="17"/>
              <w:ind w:left="36"/>
              <w:rPr>
                <w:sz w:val="20"/>
              </w:rPr>
            </w:pPr>
            <w:r>
              <w:rPr>
                <w:sz w:val="20"/>
              </w:rPr>
              <w:t>Dívida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Consolidada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Líquida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Operações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Crédito.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94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Royalties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2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8.9.4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spacing w:line="256" w:lineRule="auto" w:before="108"/>
              <w:ind w:left="36" w:right="16"/>
              <w:jc w:val="both"/>
              <w:rPr>
                <w:sz w:val="20"/>
              </w:rPr>
            </w:pPr>
            <w:r>
              <w:rPr>
                <w:sz w:val="20"/>
              </w:rPr>
              <w:t>Descumprimento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repasse ao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limite de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até 70% dos recursos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 Royalties à Niterói Prev, conforme previsto na Lei Municipal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2.288/2005,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§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1º,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artigo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20,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Constituição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Federal.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2789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</w:t>
            </w:r>
          </w:p>
        </w:tc>
        <w:tc>
          <w:tcPr>
            <w:tcW w:w="253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Royalties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16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8.9.5</w:t>
            </w:r>
          </w:p>
        </w:tc>
        <w:tc>
          <w:tcPr>
            <w:tcW w:w="5931" w:type="dxa"/>
            <w:shd w:val="clear" w:color="auto" w:fill="FFF1CC"/>
          </w:tcPr>
          <w:p>
            <w:pPr>
              <w:pStyle w:val="TableParagraph"/>
              <w:tabs>
                <w:tab w:pos="4019" w:val="left" w:leader="none"/>
              </w:tabs>
              <w:spacing w:line="256" w:lineRule="auto" w:before="166"/>
              <w:ind w:left="36" w:right="15"/>
              <w:jc w:val="both"/>
              <w:rPr>
                <w:sz w:val="20"/>
              </w:rPr>
            </w:pPr>
            <w:r>
              <w:rPr>
                <w:sz w:val="20"/>
              </w:rPr>
              <w:t>Não cumprimento das vedações impostas pelo artigo 8.º da Lei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Federal n.º 7.990/89 quanto à proibição de efetuar despesas com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utilização de recursos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 Royalties alcançar todos os recursos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compensações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financeiras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devidas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pelo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resultado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exploração de petróleo ou gás natural: a) Royalties pela produção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(até 5% da produção) – art. 48 da Lei nº 9.478/97; b) Royalties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pelo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excedente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 produção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– art. 49 da Lei nº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9.478/97; c)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Royalties sob o regime de partilha de produção – art. 42-B da Lei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95"/>
                <w:sz w:val="20"/>
              </w:rPr>
              <w:t> </w:t>
            </w:r>
            <w:r>
              <w:rPr>
                <w:sz w:val="20"/>
              </w:rPr>
              <w:t>12.351/10,</w:t>
            </w:r>
            <w:r>
              <w:rPr>
                <w:spacing w:val="94"/>
                <w:sz w:val="20"/>
              </w:rPr>
              <w:t> </w:t>
            </w:r>
            <w:r>
              <w:rPr>
                <w:sz w:val="20"/>
              </w:rPr>
              <w:t>incluído</w:t>
            </w:r>
            <w:r>
              <w:rPr>
                <w:spacing w:val="95"/>
                <w:sz w:val="20"/>
              </w:rPr>
              <w:t> </w:t>
            </w:r>
            <w:r>
              <w:rPr>
                <w:sz w:val="20"/>
              </w:rPr>
              <w:t>pela</w:t>
            </w:r>
            <w:r>
              <w:rPr>
                <w:spacing w:val="94"/>
                <w:sz w:val="20"/>
              </w:rPr>
              <w:t> </w:t>
            </w:r>
            <w:r>
              <w:rPr>
                <w:sz w:val="20"/>
              </w:rPr>
              <w:t>Lei</w:t>
              <w:tab/>
              <w:t>nº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12.734/12;</w:t>
            </w:r>
            <w:r>
              <w:rPr>
                <w:spacing w:val="3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35"/>
                <w:sz w:val="20"/>
              </w:rPr>
              <w:t> </w:t>
            </w:r>
            <w:r>
              <w:rPr>
                <w:sz w:val="20"/>
              </w:rPr>
              <w:t>d)</w:t>
            </w:r>
            <w:r>
              <w:rPr>
                <w:spacing w:val="-54"/>
                <w:sz w:val="20"/>
              </w:rPr>
              <w:t> </w:t>
            </w:r>
            <w:r>
              <w:rPr>
                <w:sz w:val="20"/>
              </w:rPr>
              <w:t>Participação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especial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50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Lei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nº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9.478/97.</w:t>
            </w: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477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12.1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line="227" w:lineRule="exact"/>
              <w:ind w:left="37"/>
              <w:rPr>
                <w:sz w:val="20"/>
              </w:rPr>
            </w:pPr>
            <w:r>
              <w:rPr>
                <w:sz w:val="20"/>
              </w:rPr>
              <w:t>Segurança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Informação</w:t>
            </w:r>
          </w:p>
          <w:p>
            <w:pPr>
              <w:pStyle w:val="TableParagraph"/>
              <w:spacing w:line="213" w:lineRule="exact" w:before="17"/>
              <w:ind w:left="37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Tecnologia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2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12.1.1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before="122"/>
              <w:ind w:left="36"/>
              <w:rPr>
                <w:sz w:val="20"/>
              </w:rPr>
            </w:pPr>
            <w:r>
              <w:rPr>
                <w:sz w:val="20"/>
              </w:rPr>
              <w:t>Ausência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Treinamentos.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916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27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12.1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before="8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256" w:lineRule="auto" w:before="1"/>
              <w:ind w:left="37" w:right="169"/>
              <w:rPr>
                <w:sz w:val="20"/>
              </w:rPr>
            </w:pPr>
            <w:r>
              <w:rPr>
                <w:sz w:val="20"/>
              </w:rPr>
              <w:t>Segurança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Informação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Tecnologia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27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12.1.2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before="8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256" w:lineRule="auto" w:before="1"/>
              <w:ind w:left="36"/>
              <w:rPr>
                <w:sz w:val="20"/>
              </w:rPr>
            </w:pPr>
            <w:r>
              <w:rPr>
                <w:sz w:val="20"/>
              </w:rPr>
              <w:t>Ausência</w:t>
            </w:r>
            <w:r>
              <w:rPr>
                <w:spacing w:val="1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5"/>
                <w:sz w:val="20"/>
              </w:rPr>
              <w:t> </w:t>
            </w:r>
            <w:r>
              <w:rPr>
                <w:sz w:val="20"/>
              </w:rPr>
              <w:t>Confidencialidade,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Integridade,</w:t>
            </w:r>
            <w:r>
              <w:rPr>
                <w:spacing w:val="14"/>
                <w:sz w:val="20"/>
              </w:rPr>
              <w:t> </w:t>
            </w:r>
            <w:r>
              <w:rPr>
                <w:sz w:val="20"/>
              </w:rPr>
              <w:t>Disponibilidade</w:t>
            </w:r>
            <w:r>
              <w:rPr>
                <w:spacing w:val="13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Confiabilidade.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5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3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70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12.2</w:t>
            </w:r>
          </w:p>
        </w:tc>
        <w:tc>
          <w:tcPr>
            <w:tcW w:w="2536" w:type="dxa"/>
            <w:shd w:val="clear" w:color="auto" w:fill="F8CAAC"/>
          </w:tcPr>
          <w:p>
            <w:pPr>
              <w:pStyle w:val="TableParagraph"/>
              <w:spacing w:before="1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sz w:val="20"/>
              </w:rPr>
            </w:pPr>
            <w:r>
              <w:rPr>
                <w:sz w:val="20"/>
              </w:rPr>
              <w:t>SIAFIC</w:t>
            </w:r>
          </w:p>
        </w:tc>
        <w:tc>
          <w:tcPr>
            <w:tcW w:w="798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9"/>
              </w:rPr>
            </w:pPr>
          </w:p>
          <w:p>
            <w:pPr>
              <w:pStyle w:val="TableParagraph"/>
              <w:ind w:left="37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12.2.1</w:t>
            </w:r>
          </w:p>
        </w:tc>
        <w:tc>
          <w:tcPr>
            <w:tcW w:w="5931" w:type="dxa"/>
            <w:shd w:val="clear" w:color="auto" w:fill="F8CAAC"/>
          </w:tcPr>
          <w:p>
            <w:pPr>
              <w:pStyle w:val="TableParagraph"/>
              <w:spacing w:line="256" w:lineRule="auto"/>
              <w:ind w:left="36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sistema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integrado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administração</w:t>
            </w:r>
            <w:r>
              <w:rPr>
                <w:spacing w:val="30"/>
                <w:sz w:val="20"/>
              </w:rPr>
              <w:t> </w:t>
            </w:r>
            <w:r>
              <w:rPr>
                <w:sz w:val="20"/>
              </w:rPr>
              <w:t>financeira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28"/>
                <w:sz w:val="20"/>
              </w:rPr>
              <w:t> </w:t>
            </w:r>
            <w:r>
              <w:rPr>
                <w:sz w:val="20"/>
              </w:rPr>
              <w:t>controle</w:t>
            </w:r>
            <w:r>
              <w:rPr>
                <w:spacing w:val="25"/>
                <w:sz w:val="20"/>
              </w:rPr>
              <w:t> </w:t>
            </w:r>
            <w:r>
              <w:rPr>
                <w:sz w:val="20"/>
              </w:rPr>
              <w:t>não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atender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padrão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mínimo</w:t>
            </w:r>
            <w:r>
              <w:rPr>
                <w:spacing w:val="2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27"/>
                <w:sz w:val="20"/>
              </w:rPr>
              <w:t> </w:t>
            </w:r>
            <w:r>
              <w:rPr>
                <w:sz w:val="20"/>
              </w:rPr>
              <w:t>qualidade</w:t>
            </w:r>
            <w:r>
              <w:rPr>
                <w:spacing w:val="24"/>
                <w:sz w:val="20"/>
              </w:rPr>
              <w:t> </w:t>
            </w:r>
            <w:r>
              <w:rPr>
                <w:sz w:val="20"/>
              </w:rPr>
              <w:t>estabelecido</w:t>
            </w:r>
            <w:r>
              <w:rPr>
                <w:spacing w:val="29"/>
                <w:sz w:val="20"/>
              </w:rPr>
              <w:t> </w:t>
            </w:r>
            <w:r>
              <w:rPr>
                <w:sz w:val="20"/>
              </w:rPr>
              <w:t>pelo</w:t>
            </w:r>
            <w:r>
              <w:rPr>
                <w:spacing w:val="23"/>
                <w:sz w:val="20"/>
              </w:rPr>
              <w:t> </w:t>
            </w:r>
            <w:r>
              <w:rPr>
                <w:sz w:val="20"/>
              </w:rPr>
              <w:t>Poder</w:t>
            </w:r>
          </w:p>
          <w:p>
            <w:pPr>
              <w:pStyle w:val="TableParagraph"/>
              <w:spacing w:line="200" w:lineRule="exact"/>
              <w:ind w:left="36"/>
              <w:rPr>
                <w:sz w:val="20"/>
              </w:rPr>
            </w:pPr>
            <w:r>
              <w:rPr>
                <w:sz w:val="20"/>
              </w:rPr>
              <w:t>Executivo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União.</w:t>
            </w: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21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22" w:type="dxa"/>
            <w:shd w:val="clear" w:color="auto" w:fill="F8CAA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1116" w:hRule="atLeast"/>
        </w:trPr>
        <w:tc>
          <w:tcPr>
            <w:tcW w:w="13335" w:type="dxa"/>
            <w:gridSpan w:val="7"/>
          </w:tcPr>
          <w:p>
            <w:pPr>
              <w:pStyle w:val="TableParagraph"/>
              <w:spacing w:before="4"/>
              <w:ind w:left="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11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</w:tbl>
    <w:sectPr>
      <w:pgSz w:w="16770" w:h="23720"/>
      <w:pgMar w:top="1500" w:bottom="280" w:left="178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5"/>
    </w:pPr>
    <w:rPr>
      <w:rFonts w:ascii="Calibri" w:hAnsi="Calibri" w:eastAsia="Calibri" w:cs="Calibri"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Fioretti</dc:creator>
  <dcterms:created xsi:type="dcterms:W3CDTF">2022-04-05T19:07:44Z</dcterms:created>
  <dcterms:modified xsi:type="dcterms:W3CDTF">2022-04-05T19:07:44Z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2022-04-05T00:00:00Z</vt:filetime>
  </property>
</Properties>
</file>